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024733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CC5E52">
              <w:rPr>
                <w:b/>
              </w:rPr>
              <w:t xml:space="preserve">4 </w:t>
            </w:r>
            <w:r w:rsidR="00C57341">
              <w:rPr>
                <w:b/>
              </w:rPr>
              <w:t xml:space="preserve">:   </w:t>
            </w:r>
            <w:r w:rsidR="00024733">
              <w:rPr>
                <w:b/>
              </w:rPr>
              <w:t>Innovation RH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CC5E52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4-4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E358AA" w:rsidP="00804464">
            <w:pPr>
              <w:spacing w:after="40"/>
              <w:ind w:left="7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L’IA </w:t>
            </w:r>
            <w:r w:rsidR="00024733">
              <w:rPr>
                <w:szCs w:val="28"/>
              </w:rPr>
              <w:t xml:space="preserve">au service </w:t>
            </w:r>
            <w:r w:rsidR="00FF69CD">
              <w:rPr>
                <w:szCs w:val="28"/>
              </w:rPr>
              <w:t>des ressources humaines</w:t>
            </w:r>
          </w:p>
          <w:p w:rsidR="00FF69CD" w:rsidRDefault="00FF69CD" w:rsidP="00804464">
            <w:pPr>
              <w:spacing w:after="40"/>
              <w:ind w:left="72"/>
              <w:jc w:val="center"/>
              <w:rPr>
                <w:sz w:val="24"/>
              </w:rPr>
            </w:pPr>
            <w:r>
              <w:rPr>
                <w:szCs w:val="28"/>
              </w:rPr>
              <w:t>(</w:t>
            </w:r>
            <w:r w:rsidR="00CC5E52">
              <w:rPr>
                <w:szCs w:val="28"/>
              </w:rPr>
              <w:t>Thématique</w:t>
            </w:r>
            <w:r>
              <w:rPr>
                <w:szCs w:val="28"/>
              </w:rPr>
              <w:t xml:space="preserve"> </w:t>
            </w:r>
            <w:r w:rsidR="00EE4B16">
              <w:rPr>
                <w:szCs w:val="28"/>
              </w:rPr>
              <w:t>à adapter</w:t>
            </w:r>
            <w:r>
              <w:rPr>
                <w:szCs w:val="28"/>
              </w:rPr>
              <w:t>)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406C19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2454E8">
              <w:rPr>
                <w:sz w:val="24"/>
              </w:rPr>
              <w:t>jours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406C19" w:rsidTr="00406C19">
        <w:trPr>
          <w:cantSplit/>
          <w:trHeight w:hRule="exact" w:val="1835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E6C" w:rsidRPr="00024733" w:rsidRDefault="006E40AD" w:rsidP="00024733">
            <w:pPr>
              <w:tabs>
                <w:tab w:val="left" w:pos="4235"/>
              </w:tabs>
              <w:spacing w:after="0" w:line="240" w:lineRule="auto"/>
              <w:rPr>
                <w:sz w:val="18"/>
                <w:szCs w:val="18"/>
              </w:rPr>
            </w:pPr>
            <w:r w:rsidRPr="00406C19"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 w:rsidRPr="00406C19">
              <w:rPr>
                <w:rFonts w:ascii="Arial" w:hAnsi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406C19">
              <w:rPr>
                <w:sz w:val="18"/>
                <w:szCs w:val="18"/>
              </w:rPr>
              <w:t>:</w:t>
            </w:r>
          </w:p>
          <w:p w:rsidR="00024733" w:rsidRPr="00024733" w:rsidRDefault="00024733" w:rsidP="00A166F9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024733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Comprendre les principes de l’IA </w:t>
            </w:r>
            <w:r w:rsidR="00A166F9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appliqué à la thématique RH cible</w:t>
            </w:r>
          </w:p>
          <w:p w:rsidR="00A166F9" w:rsidRPr="00A166F9" w:rsidRDefault="00A166F9" w:rsidP="00A166F9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Exploiter et gérer les données RH de façon éthique et réglementaire</w:t>
            </w:r>
            <w:r w:rsidRPr="00A166F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A166F9" w:rsidRDefault="00A166F9" w:rsidP="00A166F9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" w:hAnsi="Arial" w:cs="Arial"/>
              </w:rPr>
            </w:pPr>
            <w:r w:rsidRPr="00A166F9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Améliorer la performance des processus RH grâce à l’IA</w:t>
            </w:r>
            <w:r w:rsidRPr="00A166F9">
              <w:rPr>
                <w:rFonts w:ascii="Arial" w:hAnsi="Arial" w:cs="Arial"/>
              </w:rPr>
              <w:t xml:space="preserve"> </w:t>
            </w:r>
          </w:p>
          <w:p w:rsidR="00A166F9" w:rsidRPr="00A166F9" w:rsidRDefault="00A166F9" w:rsidP="00A166F9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Maîtriser les risques et enjeux éthiques dans l'utilisation de l'IA</w:t>
            </w:r>
          </w:p>
          <w:p w:rsidR="00A166F9" w:rsidRDefault="00A166F9" w:rsidP="00A166F9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</w:rPr>
            </w:pPr>
          </w:p>
          <w:p w:rsidR="00C57341" w:rsidRPr="00A166F9" w:rsidRDefault="00C57341" w:rsidP="00A166F9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A166F9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4C69C7" w:rsidRPr="00A166F9">
                  <w:rPr>
                    <w:rFonts w:ascii="Arial" w:hAnsi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406C19" w:rsidRDefault="00C57341" w:rsidP="00C57341">
      <w:pPr>
        <w:rPr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962AB6">
        <w:trPr>
          <w:cantSplit/>
          <w:trHeight w:hRule="exact" w:val="108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406C19" w:rsidRDefault="00C57341" w:rsidP="00F35E03">
            <w:pPr>
              <w:tabs>
                <w:tab w:val="left" w:pos="1985"/>
              </w:tabs>
              <w:spacing w:before="4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EE4B16">
              <w:rPr>
                <w:rFonts w:ascii="Arial" w:hAnsi="Arial" w:cs="Arial"/>
                <w:sz w:val="18"/>
                <w:szCs w:val="18"/>
              </w:rPr>
              <w:t xml:space="preserve">Agent RH en charge du pilotage </w:t>
            </w:r>
            <w:r w:rsidR="00A166F9">
              <w:rPr>
                <w:rFonts w:ascii="Arial" w:hAnsi="Arial" w:cs="Arial"/>
                <w:sz w:val="18"/>
                <w:szCs w:val="18"/>
              </w:rPr>
              <w:t>ou d’un processus lié à l</w:t>
            </w:r>
            <w:r w:rsidR="00EE4B16">
              <w:rPr>
                <w:rFonts w:ascii="Arial" w:hAnsi="Arial" w:cs="Arial"/>
                <w:sz w:val="18"/>
                <w:szCs w:val="18"/>
              </w:rPr>
              <w:t xml:space="preserve">’une des thématiques </w:t>
            </w:r>
            <w:r w:rsidR="00121DE4">
              <w:rPr>
                <w:rFonts w:ascii="Arial" w:hAnsi="Arial" w:cs="Arial"/>
                <w:sz w:val="18"/>
                <w:szCs w:val="18"/>
              </w:rPr>
              <w:t>RH.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FF69CD">
              <w:rPr>
                <w:rFonts w:ascii="Arial" w:hAnsi="Arial"/>
                <w:sz w:val="18"/>
              </w:rPr>
              <w:t>Conduite du changement</w:t>
            </w:r>
          </w:p>
          <w:p w:rsidR="00C57341" w:rsidRPr="00962AB6" w:rsidRDefault="00C57341" w:rsidP="00962AB6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962AB6">
              <w:rPr>
                <w:rFonts w:ascii="Arial" w:hAnsi="Arial"/>
                <w:sz w:val="18"/>
                <w:szCs w:val="18"/>
              </w:rPr>
              <w:t>A</w:t>
            </w:r>
            <w:r w:rsidR="00962AB6" w:rsidRPr="00962AB6">
              <w:rPr>
                <w:rFonts w:ascii="Arial" w:hAnsi="Arial"/>
                <w:sz w:val="18"/>
                <w:szCs w:val="18"/>
              </w:rPr>
              <w:t>voir suivi la formation Accult</w:t>
            </w:r>
            <w:r w:rsidR="00962AB6">
              <w:rPr>
                <w:rFonts w:ascii="Arial" w:hAnsi="Arial"/>
                <w:sz w:val="18"/>
                <w:szCs w:val="18"/>
              </w:rPr>
              <w:t>uration à l’IA (</w:t>
            </w:r>
            <w:r w:rsidR="004C69C7" w:rsidRPr="00962AB6">
              <w:rPr>
                <w:rFonts w:ascii="Arial" w:hAnsi="Arial"/>
                <w:sz w:val="18"/>
                <w:szCs w:val="18"/>
              </w:rPr>
              <w:t>Sensibilisation</w:t>
            </w:r>
            <w:r w:rsidR="00962AB6">
              <w:rPr>
                <w:rFonts w:ascii="Arial" w:hAnsi="Arial"/>
                <w:sz w:val="18"/>
                <w:szCs w:val="18"/>
              </w:rPr>
              <w:t>) </w:t>
            </w: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E4B16" w:rsidRDefault="00EE4B16" w:rsidP="00121DE4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EE4B16">
              <w:rPr>
                <w:rStyle w:val="lev"/>
                <w:rFonts w:ascii="Arial" w:hAnsi="Arial" w:cs="Arial"/>
                <w:sz w:val="18"/>
                <w:szCs w:val="18"/>
              </w:rPr>
              <w:t>Thématique adaptable :</w:t>
            </w:r>
            <w:r w:rsidRPr="00EE4B16">
              <w:rPr>
                <w:rFonts w:ascii="Arial" w:hAnsi="Arial" w:cs="Arial"/>
                <w:sz w:val="18"/>
                <w:szCs w:val="18"/>
              </w:rPr>
              <w:t xml:space="preserve"> Cette fiche pédagogique doit être adaptée aux spécificités de chaque thématique RH (paie, recrutement, GPEC, etc.) en modifiant les cas pratiques, les sources de données spécifiques et les processus à automatiser, afin de répondre aux besoins opérationnels du public ciblé.</w:t>
            </w:r>
          </w:p>
          <w:p w:rsidR="003604E0" w:rsidRDefault="003604E0" w:rsidP="00121DE4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 outils et l’environnement de l’IA du MINARM sont intégrés à la formation en collaboration avec un expert interne au ministère.</w:t>
            </w:r>
          </w:p>
          <w:p w:rsidR="003604E0" w:rsidRDefault="003604E0" w:rsidP="00121DE4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 formation est actualisée chaque année pour intégrer les évolutions des outils et des pratiques. </w:t>
            </w:r>
          </w:p>
          <w:p w:rsidR="00121DE4" w:rsidRPr="00024733" w:rsidRDefault="00121DE4" w:rsidP="00121DE4">
            <w:pPr>
              <w:pStyle w:val="NormalWeb"/>
              <w:spacing w:before="0" w:beforeAutospacing="0" w:after="0" w:afterAutospacing="0" w:line="276" w:lineRule="auto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:rsidR="00A166F9" w:rsidRPr="00A166F9" w:rsidRDefault="00A166F9" w:rsidP="00121DE4">
            <w:pPr>
              <w:pStyle w:val="NormalWeb"/>
              <w:numPr>
                <w:ilvl w:val="0"/>
                <w:numId w:val="31"/>
              </w:numPr>
              <w:tabs>
                <w:tab w:val="clear" w:pos="720"/>
                <w:tab w:val="num" w:pos="409"/>
              </w:tabs>
              <w:spacing w:before="0" w:beforeAutospacing="0" w:after="0" w:afterAutospacing="0" w:line="276" w:lineRule="auto"/>
              <w:ind w:left="40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Introduction aux principes de l’IA appliquée au domaine RH ciblé</w:t>
            </w:r>
          </w:p>
          <w:p w:rsidR="00A166F9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>Fonctionnement et terminologie de l’IA, vue d’ensemble des algorithmes utilisés.</w:t>
            </w:r>
          </w:p>
          <w:p w:rsid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>Cas d’utilisation spécifiques et exemples d’application dans le domaine RH choisi.</w:t>
            </w:r>
          </w:p>
          <w:p w:rsidR="00121DE4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166F9" w:rsidRPr="00A166F9" w:rsidRDefault="00A166F9" w:rsidP="00121DE4">
            <w:pPr>
              <w:pStyle w:val="NormalWeb"/>
              <w:numPr>
                <w:ilvl w:val="0"/>
                <w:numId w:val="31"/>
              </w:numPr>
              <w:tabs>
                <w:tab w:val="clear" w:pos="720"/>
                <w:tab w:val="num" w:pos="409"/>
              </w:tabs>
              <w:spacing w:before="0" w:beforeAutospacing="0" w:after="0" w:afterAutospacing="0" w:line="276" w:lineRule="auto"/>
              <w:ind w:left="40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Collecte et gestion des données RH</w:t>
            </w:r>
          </w:p>
          <w:p w:rsidR="00A166F9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>Identification des sources de données et gestion des risques de biais.</w:t>
            </w:r>
          </w:p>
          <w:p w:rsid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>Conformité réglementaire (RGPD, discriminations) et principes éthiques dans l’utilisation des données RH.</w:t>
            </w:r>
          </w:p>
          <w:p w:rsidR="00121DE4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166F9" w:rsidRPr="00A166F9" w:rsidRDefault="00A166F9" w:rsidP="00121DE4">
            <w:pPr>
              <w:pStyle w:val="NormalWeb"/>
              <w:numPr>
                <w:ilvl w:val="0"/>
                <w:numId w:val="31"/>
              </w:numPr>
              <w:tabs>
                <w:tab w:val="clear" w:pos="720"/>
                <w:tab w:val="num" w:pos="409"/>
              </w:tabs>
              <w:spacing w:before="0" w:beforeAutospacing="0" w:after="0" w:afterAutospacing="0" w:line="276" w:lineRule="auto"/>
              <w:ind w:left="40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Optimisation des processus RH avec l’IA</w:t>
            </w:r>
          </w:p>
          <w:p w:rsidR="00A166F9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>Automatisation et amélioration de la gestion de processus RH spécifiques grâce aux outils IA.</w:t>
            </w:r>
          </w:p>
          <w:p w:rsidR="00A166F9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>Utilisation de l’analyse prédictive pour anticiper les évolutions RH pertinentes pour le domaine (ex. : prévision de turnover, gestion proactive des talents).</w:t>
            </w:r>
          </w:p>
          <w:p w:rsidR="00A166F9" w:rsidRPr="00A166F9" w:rsidRDefault="00A166F9" w:rsidP="00121DE4">
            <w:pPr>
              <w:pStyle w:val="NormalWeb"/>
              <w:numPr>
                <w:ilvl w:val="0"/>
                <w:numId w:val="31"/>
              </w:numPr>
              <w:tabs>
                <w:tab w:val="clear" w:pos="720"/>
                <w:tab w:val="num" w:pos="409"/>
              </w:tabs>
              <w:spacing w:before="0" w:beforeAutospacing="0" w:after="0" w:afterAutospacing="0" w:line="276" w:lineRule="auto"/>
              <w:ind w:left="40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lastRenderedPageBreak/>
              <w:t>Pratiques éthiques et gouvernance dans l'IA appliquée aux RH</w:t>
            </w:r>
          </w:p>
          <w:p w:rsidR="00A166F9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>Notions d’IA explicable et de gouvernance responsable dans les projets IA.</w:t>
            </w:r>
          </w:p>
          <w:p w:rsid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66F9" w:rsidRPr="00A166F9">
              <w:rPr>
                <w:rFonts w:ascii="Arial" w:hAnsi="Arial" w:cs="Arial"/>
                <w:sz w:val="18"/>
                <w:szCs w:val="18"/>
              </w:rPr>
              <w:t xml:space="preserve">Défis de l’IA en matière d’éthique et d’environnement, mesures pour une approche </w:t>
            </w:r>
            <w:r w:rsidR="00A166F9">
              <w:rPr>
                <w:rFonts w:ascii="Arial" w:hAnsi="Arial" w:cs="Arial"/>
                <w:sz w:val="18"/>
                <w:szCs w:val="18"/>
              </w:rPr>
              <w:t>de sobriété numérique.</w:t>
            </w:r>
          </w:p>
          <w:p w:rsidR="00121DE4" w:rsidRPr="00A166F9" w:rsidRDefault="00121DE4" w:rsidP="00121DE4">
            <w:pPr>
              <w:spacing w:after="0"/>
              <w:ind w:left="40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166F9" w:rsidRPr="00A166F9" w:rsidRDefault="00A166F9" w:rsidP="00121DE4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Format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A166F9" w:rsidRPr="00A166F9" w:rsidRDefault="00A166F9" w:rsidP="00121DE4">
            <w:pPr>
              <w:numPr>
                <w:ilvl w:val="0"/>
                <w:numId w:val="27"/>
              </w:num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Jour 1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: Introduction et apports théoriques. Exploration des cas d’usage de l’IA dans le domaine RH ciblé avec des illustrations concrètes et retours d’expérience.</w:t>
            </w:r>
          </w:p>
          <w:p w:rsidR="00A166F9" w:rsidRDefault="00A166F9" w:rsidP="00121DE4">
            <w:pPr>
              <w:numPr>
                <w:ilvl w:val="0"/>
                <w:numId w:val="27"/>
              </w:num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Jour 2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: Ateliers collaboratifs basés sur un cas d’usage spécifique du domaine RH choisi. Par groupe, les participants analyseront un cas pratique d’intégration de l'IA dans le processus RH visé (ex. : automatisation de la paie ou présélection de candidats), identifieront les données exploitables, proposeront des étapes de mise en œuvre, et évalueront les risques réglementaires et éthiques.</w:t>
            </w:r>
          </w:p>
          <w:p w:rsidR="00121DE4" w:rsidRDefault="00121DE4" w:rsidP="00121DE4">
            <w:pPr>
              <w:spacing w:after="0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166F9" w:rsidRPr="00A166F9" w:rsidRDefault="00A166F9" w:rsidP="00121DE4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Méthodes pédagogiques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A166F9" w:rsidRPr="00A166F9" w:rsidRDefault="00A166F9" w:rsidP="00121DE4">
            <w:pPr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Alternance d'apports théoriques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et </w:t>
            </w: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de démonstrations pratiques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pour introduire les concepts de l'IA et ses applications dans le domaine RH.</w:t>
            </w:r>
          </w:p>
          <w:p w:rsidR="00A166F9" w:rsidRPr="00A166F9" w:rsidRDefault="00A166F9" w:rsidP="00121DE4">
            <w:pPr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Études de cas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et </w:t>
            </w: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ateliers collaboratifs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pour favoriser l’appropriation des compétences et leur application directe aux processus RH.</w:t>
            </w:r>
          </w:p>
          <w:p w:rsidR="00F35E03" w:rsidRPr="00A166F9" w:rsidRDefault="00A166F9" w:rsidP="00121DE4">
            <w:pPr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</w:rPr>
            </w:pPr>
            <w:r w:rsidRPr="00A166F9">
              <w:rPr>
                <w:rStyle w:val="lev"/>
                <w:rFonts w:ascii="Arial" w:hAnsi="Arial" w:cs="Arial"/>
                <w:sz w:val="18"/>
                <w:szCs w:val="18"/>
              </w:rPr>
              <w:t>Discussions et retours d'expérience</w:t>
            </w:r>
            <w:r w:rsidRPr="00A166F9">
              <w:rPr>
                <w:rFonts w:ascii="Arial" w:hAnsi="Arial" w:cs="Arial"/>
                <w:sz w:val="18"/>
                <w:szCs w:val="18"/>
              </w:rPr>
              <w:t xml:space="preserve"> pour renforcer la compréhension des enjeux éthiques et organisationnels dans l'utilisation de l'IA en RH.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420AE8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121DE4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21DE4" w:rsidRDefault="00121DE4" w:rsidP="00121DE4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</w:t>
            </w:r>
          </w:p>
          <w:p w:rsidR="00121DE4" w:rsidRDefault="00121DE4" w:rsidP="00121DE4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Exercices d'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 xml:space="preserve">pplication     Etudes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 </w:t>
            </w:r>
          </w:p>
          <w:p w:rsidR="00121DE4" w:rsidRDefault="00121DE4" w:rsidP="00121DE4">
            <w:pPr>
              <w:spacing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Travaux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  <w:p w:rsidR="00C57341" w:rsidRPr="00F35E03" w:rsidRDefault="00C57341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 w:rsidR="00CC5E52">
        <w:rPr>
          <w:rFonts w:ascii="Arial" w:hAnsi="Arial"/>
          <w:sz w:val="18"/>
        </w:rPr>
        <w:t>xposé</w:t>
      </w:r>
      <w:bookmarkStart w:id="0" w:name="_GoBack"/>
      <w:bookmarkEnd w:id="0"/>
      <w:r>
        <w:rPr>
          <w:rFonts w:ascii="Arial" w:hAnsi="Arial"/>
          <w:sz w:val="18"/>
        </w:rPr>
        <w:t>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406C19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420AE8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4C69C7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121DE4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406C19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121DE4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 xml:space="preserve">Damien </w:t>
            </w:r>
            <w:proofErr w:type="spellStart"/>
            <w:r>
              <w:rPr>
                <w:sz w:val="24"/>
              </w:rPr>
              <w:t>Joliot</w:t>
            </w:r>
            <w:proofErr w:type="spellEnd"/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AE8" w:rsidRDefault="00420AE8" w:rsidP="00C57341">
      <w:pPr>
        <w:spacing w:after="0" w:line="240" w:lineRule="auto"/>
      </w:pPr>
      <w:r>
        <w:separator/>
      </w:r>
    </w:p>
  </w:endnote>
  <w:endnote w:type="continuationSeparator" w:id="0">
    <w:p w:rsidR="00420AE8" w:rsidRDefault="00420AE8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AE8" w:rsidRDefault="00420AE8" w:rsidP="00C57341">
      <w:pPr>
        <w:spacing w:after="0" w:line="240" w:lineRule="auto"/>
      </w:pPr>
      <w:r>
        <w:separator/>
      </w:r>
    </w:p>
  </w:footnote>
  <w:footnote w:type="continuationSeparator" w:id="0">
    <w:p w:rsidR="00420AE8" w:rsidRDefault="00420AE8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E7B10"/>
    <w:multiLevelType w:val="multilevel"/>
    <w:tmpl w:val="CBD2B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E28DA"/>
    <w:multiLevelType w:val="multilevel"/>
    <w:tmpl w:val="F9C4A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A6AF1"/>
    <w:multiLevelType w:val="multilevel"/>
    <w:tmpl w:val="BC60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3B5741"/>
    <w:multiLevelType w:val="multilevel"/>
    <w:tmpl w:val="B644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7BAB"/>
    <w:multiLevelType w:val="multilevel"/>
    <w:tmpl w:val="5324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7D2D4B"/>
    <w:multiLevelType w:val="multilevel"/>
    <w:tmpl w:val="BEF2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26634"/>
    <w:multiLevelType w:val="multilevel"/>
    <w:tmpl w:val="50E6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5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90261"/>
    <w:multiLevelType w:val="hybridMultilevel"/>
    <w:tmpl w:val="E028D7F0"/>
    <w:lvl w:ilvl="0" w:tplc="03E271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A2D5328"/>
    <w:multiLevelType w:val="multilevel"/>
    <w:tmpl w:val="C35E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93570"/>
    <w:multiLevelType w:val="multilevel"/>
    <w:tmpl w:val="AD16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B64B62"/>
    <w:multiLevelType w:val="multilevel"/>
    <w:tmpl w:val="855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111B9"/>
    <w:multiLevelType w:val="multilevel"/>
    <w:tmpl w:val="3078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56CD7"/>
    <w:multiLevelType w:val="hybridMultilevel"/>
    <w:tmpl w:val="A59E4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F4C14"/>
    <w:multiLevelType w:val="multilevel"/>
    <w:tmpl w:val="E406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637EAC"/>
    <w:multiLevelType w:val="hybridMultilevel"/>
    <w:tmpl w:val="EB90A0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23"/>
  </w:num>
  <w:num w:numId="5">
    <w:abstractNumId w:val="18"/>
  </w:num>
  <w:num w:numId="6">
    <w:abstractNumId w:val="19"/>
  </w:num>
  <w:num w:numId="7">
    <w:abstractNumId w:val="14"/>
  </w:num>
  <w:num w:numId="8">
    <w:abstractNumId w:val="30"/>
  </w:num>
  <w:num w:numId="9">
    <w:abstractNumId w:val="29"/>
  </w:num>
  <w:num w:numId="10">
    <w:abstractNumId w:val="21"/>
  </w:num>
  <w:num w:numId="11">
    <w:abstractNumId w:val="8"/>
  </w:num>
  <w:num w:numId="12">
    <w:abstractNumId w:val="15"/>
  </w:num>
  <w:num w:numId="13">
    <w:abstractNumId w:val="26"/>
  </w:num>
  <w:num w:numId="14">
    <w:abstractNumId w:val="11"/>
  </w:num>
  <w:num w:numId="15">
    <w:abstractNumId w:val="5"/>
  </w:num>
  <w:num w:numId="16">
    <w:abstractNumId w:val="13"/>
  </w:num>
  <w:num w:numId="17">
    <w:abstractNumId w:val="0"/>
  </w:num>
  <w:num w:numId="18">
    <w:abstractNumId w:val="16"/>
  </w:num>
  <w:num w:numId="19">
    <w:abstractNumId w:val="1"/>
  </w:num>
  <w:num w:numId="20">
    <w:abstractNumId w:val="24"/>
  </w:num>
  <w:num w:numId="21">
    <w:abstractNumId w:val="9"/>
  </w:num>
  <w:num w:numId="22">
    <w:abstractNumId w:val="27"/>
  </w:num>
  <w:num w:numId="23">
    <w:abstractNumId w:val="6"/>
  </w:num>
  <w:num w:numId="24">
    <w:abstractNumId w:val="10"/>
  </w:num>
  <w:num w:numId="2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2"/>
  </w:num>
  <w:num w:numId="29">
    <w:abstractNumId w:val="25"/>
  </w:num>
  <w:num w:numId="30">
    <w:abstractNumId w:val="31"/>
  </w:num>
  <w:num w:numId="31">
    <w:abstractNumId w:val="7"/>
  </w:num>
  <w:num w:numId="32">
    <w:abstractNumId w:val="2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733"/>
    <w:rsid w:val="00024C4D"/>
    <w:rsid w:val="00062FF5"/>
    <w:rsid w:val="00095600"/>
    <w:rsid w:val="000F4CA2"/>
    <w:rsid w:val="00121DE4"/>
    <w:rsid w:val="00194976"/>
    <w:rsid w:val="00212F5F"/>
    <w:rsid w:val="002454E8"/>
    <w:rsid w:val="002656E7"/>
    <w:rsid w:val="002E4602"/>
    <w:rsid w:val="002E5017"/>
    <w:rsid w:val="00326E6C"/>
    <w:rsid w:val="00335FD9"/>
    <w:rsid w:val="00341B99"/>
    <w:rsid w:val="003604E0"/>
    <w:rsid w:val="0036387B"/>
    <w:rsid w:val="0037338F"/>
    <w:rsid w:val="003F59D2"/>
    <w:rsid w:val="00406C19"/>
    <w:rsid w:val="00420AE8"/>
    <w:rsid w:val="004C69C7"/>
    <w:rsid w:val="004F036F"/>
    <w:rsid w:val="00597B14"/>
    <w:rsid w:val="005F5BA9"/>
    <w:rsid w:val="00695C2E"/>
    <w:rsid w:val="006E40AD"/>
    <w:rsid w:val="006F7E81"/>
    <w:rsid w:val="00742BA9"/>
    <w:rsid w:val="00776DF2"/>
    <w:rsid w:val="0079093B"/>
    <w:rsid w:val="007F3434"/>
    <w:rsid w:val="00892C50"/>
    <w:rsid w:val="008A6E2C"/>
    <w:rsid w:val="008C73FF"/>
    <w:rsid w:val="008F056E"/>
    <w:rsid w:val="00962AB6"/>
    <w:rsid w:val="00A03F9A"/>
    <w:rsid w:val="00A166F9"/>
    <w:rsid w:val="00A54636"/>
    <w:rsid w:val="00A66D9C"/>
    <w:rsid w:val="00AC540F"/>
    <w:rsid w:val="00BC6C4A"/>
    <w:rsid w:val="00BD244E"/>
    <w:rsid w:val="00C03F68"/>
    <w:rsid w:val="00C57341"/>
    <w:rsid w:val="00CB2336"/>
    <w:rsid w:val="00CC5E52"/>
    <w:rsid w:val="00CE5B47"/>
    <w:rsid w:val="00D8608E"/>
    <w:rsid w:val="00D91978"/>
    <w:rsid w:val="00DD16E5"/>
    <w:rsid w:val="00E358AA"/>
    <w:rsid w:val="00E55882"/>
    <w:rsid w:val="00E614D1"/>
    <w:rsid w:val="00E9754F"/>
    <w:rsid w:val="00EE4B16"/>
    <w:rsid w:val="00F1601D"/>
    <w:rsid w:val="00F35E03"/>
    <w:rsid w:val="00FD4272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2C312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024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styleId="lev">
    <w:name w:val="Strong"/>
    <w:basedOn w:val="Policepardfaut"/>
    <w:uiPriority w:val="22"/>
    <w:qFormat/>
    <w:rsid w:val="00406C19"/>
    <w:rPr>
      <w:b/>
      <w:bCs/>
    </w:rPr>
  </w:style>
  <w:style w:type="paragraph" w:styleId="NormalWeb">
    <w:name w:val="Normal (Web)"/>
    <w:basedOn w:val="Normal"/>
    <w:uiPriority w:val="99"/>
    <w:unhideWhenUsed/>
    <w:rsid w:val="00406C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02473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212168"/>
    <w:rsid w:val="00253781"/>
    <w:rsid w:val="00255A8E"/>
    <w:rsid w:val="00423476"/>
    <w:rsid w:val="007512B3"/>
    <w:rsid w:val="007A55B9"/>
    <w:rsid w:val="007B6B0B"/>
    <w:rsid w:val="00864215"/>
    <w:rsid w:val="008E6D3B"/>
    <w:rsid w:val="00997C90"/>
    <w:rsid w:val="00A8432B"/>
    <w:rsid w:val="00AD1E63"/>
    <w:rsid w:val="00B17B18"/>
    <w:rsid w:val="00B271D6"/>
    <w:rsid w:val="00B5446F"/>
    <w:rsid w:val="00D421AE"/>
    <w:rsid w:val="00D52704"/>
    <w:rsid w:val="00F516CC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AE06B-5301-4193-89C9-74CB0AB4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10</cp:revision>
  <cp:lastPrinted>2024-10-21T13:53:00Z</cp:lastPrinted>
  <dcterms:created xsi:type="dcterms:W3CDTF">2024-10-24T15:17:00Z</dcterms:created>
  <dcterms:modified xsi:type="dcterms:W3CDTF">2024-11-14T09:52:00Z</dcterms:modified>
</cp:coreProperties>
</file>